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4"/>
        <w:gridCol w:w="1245"/>
        <w:gridCol w:w="4332"/>
        <w:gridCol w:w="1743"/>
        <w:gridCol w:w="9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5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包号</w:t>
            </w:r>
          </w:p>
        </w:tc>
        <w:tc>
          <w:tcPr>
            <w:tcW w:w="9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产品名称</w:t>
            </w:r>
          </w:p>
        </w:tc>
        <w:tc>
          <w:tcPr>
            <w:tcW w:w="45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产品用途、规格及要求</w:t>
            </w:r>
          </w:p>
        </w:tc>
        <w:tc>
          <w:tcPr>
            <w:tcW w:w="180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商务要求</w:t>
            </w:r>
          </w:p>
        </w:tc>
        <w:tc>
          <w:tcPr>
            <w:tcW w:w="10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使用科室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97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1</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真菌药敏检测试剂</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用于念珠菌等真菌体外药物敏感性测定，作为临床抗真菌药物使用依据。</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建议规格是10或20测试/盒。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可同时检测包含阿尼芬净、卡泊芬净、米卡芬净、两性霉素B、氟康唑、伊曲康唑、伏立康唑、泊沙康唑、氟胞嘧啶、制霉菌素等抗真菌药物；能提供主试剂开展检查所需所有配套试剂（质控品、校准品等）。</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2</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HTM培养基</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用于流感嗜血杆菌纸片扩散法体外药物敏感性测定，作为抗生素使用依据。</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建议规格是10或20块/包。</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3</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MH血琼脂培养基</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用于链球菌等纸片扩散法体外药物敏感性测定，作为临床抗生素使用依据。</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建议规格是10或20块/包。</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4</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结核分枝杆菌特异性细胞免疫反应检测试剂盒</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体外定性检测人新鲜外周静脉抗凝血中结核分枝杆菌感染引起的特异性T细胞免疫反应，用于结核病的辅助诊断。</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建议规格是20人份/盒。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要求为价格不高于绵阳物价；相关试剂需在四川省内或市内三甲医院成熟使用的；可进行单人份快速测试，建议方法为胶体金法或荧光免疫层析法。</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5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5</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运送培养基</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用于微生物标本的采集、运送和保护。适用于需氧菌和厌氧菌培养标本的保护运送；</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建议规格是50人份/盒。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32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6</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血浆凝固酶试剂</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用于金黄色葡萄球菌的简略、快速鉴定；</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建议规格60测试/盒。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05"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7</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肺炎支原体IgM抗体检测试剂盒</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满足门急诊儿科需求，1小时内出报告，用于临床肺炎支原体感染的辅助诊断。</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w:t>
            </w:r>
            <w:r>
              <w:rPr>
                <w:rFonts w:hint="eastAsia" w:ascii="微软雅黑" w:hAnsi="微软雅黑" w:eastAsia="微软雅黑" w:cs="微软雅黑"/>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20人份/盒。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要求为价格不高于绵阳物价；相关试剂需在四川省内或市内三甲医院成熟使用的；方法为胶体金法；检测人全血中肺炎支原体IgM抗体；能提供主试剂开展检查所需所有配套试剂（质控品、校准品等）</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8</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胰岛素样生长因子</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用于生长评估，巨人症及肢端肥大症治疗监测的指标。</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w:t>
            </w:r>
            <w:r>
              <w:rPr>
                <w:rFonts w:hint="eastAsia" w:ascii="微软雅黑" w:hAnsi="微软雅黑" w:eastAsia="微软雅黑" w:cs="微软雅黑"/>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100测试/盒。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要求为价格不高于绵阳物价；相关试剂需在四川省内或市内三甲医院成熟使用的；能提供主试剂开展检查所需所有配套试剂（质控品、校准品等）</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9</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CYP2C19基因突变检测</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患者CYP2C19基因636和681位点G＞A的突变情况，用于检测其编码的细胞色素酶对临床常用药物氯吡格雷的代谢能力和清除速率。</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w:t>
            </w:r>
            <w:r>
              <w:rPr>
                <w:rFonts w:hint="eastAsia" w:ascii="微软雅黑" w:hAnsi="微软雅黑" w:eastAsia="微软雅黑" w:cs="微软雅黑"/>
                <w:i w:val="0"/>
                <w:iCs w:val="0"/>
                <w:caps w:val="0"/>
                <w:color w:val="000000"/>
                <w:spacing w:val="0"/>
                <w:sz w:val="19"/>
                <w:szCs w:val="19"/>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20测试/盒。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0" w:hRule="atLeast"/>
        </w:trPr>
        <w:tc>
          <w:tcPr>
            <w:tcW w:w="5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Style w:val="5"/>
                <w:rFonts w:hint="eastAsia" w:ascii="微软雅黑" w:hAnsi="微软雅黑" w:eastAsia="微软雅黑" w:cs="微软雅黑"/>
                <w:b/>
                <w:bCs/>
                <w:i w:val="0"/>
                <w:iCs w:val="0"/>
                <w:caps w:val="0"/>
                <w:color w:val="000000"/>
                <w:spacing w:val="0"/>
                <w:sz w:val="24"/>
                <w:szCs w:val="24"/>
                <w:bdr w:val="none" w:color="auto" w:sz="0" w:space="0"/>
              </w:rPr>
              <w:t>10</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乙型肝炎病毒核酸测定试剂（PCR-荧光探针法）</w:t>
            </w:r>
          </w:p>
        </w:tc>
        <w:tc>
          <w:tcPr>
            <w:tcW w:w="45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用于体外高精度乙型肝炎病毒核酸测定，辅助乙肝诊疗。</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建议规格是≦48人份/盒。</w:t>
            </w: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要求为价格不高于绵阳物价；相关试剂需在四川省内或市内三甲医院成熟使用的；在现有平台上使用；方法为PCR荧光探针法；试剂有效期≧12个月;能提供主试剂开展检查所需所有配套试剂（质控品、校准品等）</w:t>
            </w:r>
          </w:p>
        </w:tc>
        <w:tc>
          <w:tcPr>
            <w:tcW w:w="180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为四川医保公共服务网上《药品和医用耗材招采管理系统》挂网的产品。</w:t>
            </w:r>
          </w:p>
        </w:tc>
        <w:tc>
          <w:tcPr>
            <w:tcW w:w="10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rPr>
              <w:t>检验科</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jY5YThlZWU4ZThkODYzNmU3OWJhZjgwOWI3YTIifQ=="/>
  </w:docVars>
  <w:rsids>
    <w:rsidRoot w:val="560A0B12"/>
    <w:rsid w:val="560A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2024-04-23T08:57:00Z</dcterms:created>
  <dc:creator>lux</dc:creator>
  <cp:lastModifiedBy>lux</cp:lastModifiedBy>
  <dcterms:modified xsi:type="dcterms:W3CDTF">2024-04-23T08:57:48Z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43D7ECC96F9F4099913DAF186737DBD6_11</vt:lpwstr>
  </property>
</Properties>
</file>