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277"/>
        <w:gridCol w:w="4282"/>
        <w:gridCol w:w="1169"/>
        <w:gridCol w:w="1173"/>
      </w:tblGrid>
      <w:tr w14:paraId="2CE2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664" w:type="dxa"/>
            <w:gridSpan w:val="5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365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44"/>
                <w:szCs w:val="44"/>
                <w:bdr w:val="none" w:color="auto" w:sz="0" w:space="0"/>
                <w:lang w:val="en-US" w:eastAsia="zh-CN"/>
              </w:rPr>
              <w:t>需求清单</w:t>
            </w:r>
          </w:p>
        </w:tc>
      </w:tr>
      <w:tr w14:paraId="19C4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5" w:hRule="atLeast"/>
        </w:trPr>
        <w:tc>
          <w:tcPr>
            <w:tcW w:w="76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34E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  <w:t>1</w:t>
            </w:r>
          </w:p>
        </w:tc>
        <w:tc>
          <w:tcPr>
            <w:tcW w:w="2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7AF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人类免疫缺陷病毒(HIV1/2)抗体检测试剂盒（乳胶法）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356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用于化学发光法检测的HIV可疑患者的复查及临产妇、三免HIV可疑患者的复查。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1.方法学：乳胶法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2.反应时间：20分钟内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3.建议包装规格：40人份/盒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4.阴性符合率：20份阴性参考品检测符合率（-/-）≥18/20；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5.阳性符合率：20份阳性参考品检测符合率（+/+）为20/20；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6.最低检出限：用最低检出限参考品（S1-S3）测定，S1为阴性基质，S2-S3至少检出一份阳性反应；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7.重复性：用国家参考品或经标化的企业阳性参考品（n=10），反应结果均为阳性，显色度均一；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相关试剂需在四川省内或市内三甲医院成熟使用的；能提供主试剂开展检查所需所有配套试剂（质控品、校准品等）；需能在检验科已有平台上使用；试剂按照LIS检测报告数进行结算。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1BA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试剂为四川医保公共服务网上“药品和医用耗材招采管理系统“挂网的产品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0CA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检验科</w:t>
            </w:r>
            <w:bookmarkStart w:id="0" w:name="_GoBack"/>
            <w:bookmarkEnd w:id="0"/>
          </w:p>
        </w:tc>
      </w:tr>
      <w:tr w14:paraId="2FE3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5" w:hRule="atLeast"/>
        </w:trPr>
        <w:tc>
          <w:tcPr>
            <w:tcW w:w="76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9D7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  <w:t>2</w:t>
            </w:r>
          </w:p>
        </w:tc>
        <w:tc>
          <w:tcPr>
            <w:tcW w:w="2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946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梅毒螺旋体抗体检测试剂盒（乳胶法）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F43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用于临产妇、三免梅毒特异性抗体的复查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1.方法学：乳胶法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2.反应时间：20分钟内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3.建议包装规格：50人份/盒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4.阴性符合率：20份阴性参考品检测符合率（-/-）≥18/20；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5.阳性符合率：10份阳性参考品检测符合率（+/+）≥9/10；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6.最低检出限：L1阳性，L2可阳性或阴性，L3为阴性；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7.重复性：平行测定10次，结果均为阳性，且显色度均一；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8.交叉反应：本试剂不与HAV、HBV、HCV、HIV、RF因子、EB病毒、幽门螺旋杆菌、癌胚抗原发生交叉反应。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相关试剂需在四川省内或市内三甲医院成熟使用的；能提供主试剂开展检查所需所有配套试剂（质控品、校准品等）；需能在检验科已有平台上使用；试剂按照LIS检测报告数进行结算。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03D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试剂为四川医保公共服务网上“药品和医用耗材招采管理系统“挂网的产品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7FD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检验科</w:t>
            </w:r>
          </w:p>
        </w:tc>
      </w:tr>
      <w:tr w14:paraId="17BF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0" w:hRule="atLeast"/>
        </w:trPr>
        <w:tc>
          <w:tcPr>
            <w:tcW w:w="76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A4A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  <w:t>3</w:t>
            </w:r>
          </w:p>
        </w:tc>
        <w:tc>
          <w:tcPr>
            <w:tcW w:w="2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29C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EB病毒衣壳抗原IgM抗体检测试剂盒（化学发光法）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716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用于鼻咽癌、传染性单核细胞增多症的筛查、评估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1.方法学：化学发光法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2.建议包装规格：100人份/盒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3.准确度：测量结果的相对偏差应在±10.0%范围内。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4.重复性:变异系数（CV）应≤10.0%。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5.批间差:3个批号试剂之间的批间变异系数（CV）应≤15.0%。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相关试剂需在四川省内或市内三甲医院成熟使用的；能提供主试剂开展检查所需所有配套试剂（质控品、校准品等）；需能在检验科已有平台上使用；试剂按照LIS检测报告数进行结算。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FD0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试剂为四川医保公共服务网上“药品和医用耗材招采管理系统“挂网的产品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09D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检验科</w:t>
            </w:r>
          </w:p>
        </w:tc>
      </w:tr>
      <w:tr w14:paraId="1039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5" w:hRule="atLeast"/>
        </w:trPr>
        <w:tc>
          <w:tcPr>
            <w:tcW w:w="76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543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  <w:t>4</w:t>
            </w:r>
          </w:p>
        </w:tc>
        <w:tc>
          <w:tcPr>
            <w:tcW w:w="2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295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EB病毒衣壳抗原IgA抗体检测试剂盒（化学发光法）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9A2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用于鼻咽癌、传染性单核细胞增多症的筛查、评估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1.方法学：化学发光法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2.建议包装规格：100人份/盒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3.准确度：测量结果的相对偏差应在±10.0%范围内。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4.重复性:变异系数（CV）应≤10.0%。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5.批间差:3个批号试剂之间的批间变异系数（CV）应≤15.0%。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相关试剂需在四川省内或市内三甲医院成熟使用的；能提供主试剂开展检查所需所有配套试剂（质控品、校准品等）；需能在检验科已有平台上使用；试剂按照LIS检测报告数进行结算。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AD9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试剂为四川医保公共服务网上“药品和医用耗材招采管理系统“挂网的产品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399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检验科</w:t>
            </w:r>
          </w:p>
        </w:tc>
      </w:tr>
      <w:tr w14:paraId="0359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</w:trPr>
        <w:tc>
          <w:tcPr>
            <w:tcW w:w="76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BDF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  <w:t>5</w:t>
            </w:r>
          </w:p>
        </w:tc>
        <w:tc>
          <w:tcPr>
            <w:tcW w:w="2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B78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EB病毒衣壳抗原IgG抗体检测试剂盒（化学发光法）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6BD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用于鼻咽癌、传染性单核细胞增多症的筛查、评估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1.方法学：化学发光法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2.建议包装规格：100人份/盒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3.准确度：测量结果的相对偏差应在±10.0%范围内。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4.重复性:变异系数（CV）应≤10.0%。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5.批间差:3个批号试剂之间的批间变异系数（CV）应≤15.0%。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相关试剂需在四川省内或市内三甲医院成熟使用的；能提供主试剂开展检查所需所有配套试剂（质控品、校准品等）；需能在检验科已有平台上使用；试剂按照LIS检测报告数进行结算。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B6A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试剂为四川医保公共服务网上“药品和医用耗材招采管理系统“挂网的产品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163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检验科</w:t>
            </w:r>
          </w:p>
        </w:tc>
      </w:tr>
      <w:tr w14:paraId="2CB6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</w:trPr>
        <w:tc>
          <w:tcPr>
            <w:tcW w:w="76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E41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  <w:t>6</w:t>
            </w:r>
          </w:p>
        </w:tc>
        <w:tc>
          <w:tcPr>
            <w:tcW w:w="2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5F6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EB病毒核心抗原IgA抗体检测试剂盒（化学发光法）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B6B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用于鼻咽癌、传染性单核细胞增多症的筛查、评估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1.方法学：化学发光学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2.建议包装规格：100人份/盒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3.总不精密度：≤10%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相关试剂需在四川省内或市内三甲医院成熟使用的；能提供主试剂开展检查所需所有配套试剂（质控品、校准品等）；需能在检验科已有平台上使用；试剂按照LIS检测报告数进行结算。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31D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试剂为四川医保公共服务网上“药品和医用耗材招采管理系统“挂网的产品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807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检验科</w:t>
            </w:r>
          </w:p>
        </w:tc>
      </w:tr>
      <w:tr w14:paraId="1047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76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A64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  <w:lang w:val="en-US" w:eastAsia="zh-CN"/>
              </w:rPr>
              <w:t>7</w:t>
            </w:r>
          </w:p>
        </w:tc>
        <w:tc>
          <w:tcPr>
            <w:tcW w:w="2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8A7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EB病毒核心抗原IgA、EB病毒衣壳抗原IgA、EB病毒核心抗原IgG、EB病毒衣壳抗原IgG、EB病毒衣壳抗原IgM、EB病毒早期抗原IgM质控品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DFD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EB病毒核心抗原IgA、EB病毒衣壳抗原IgA、EB病毒核心抗原IgG、EB病毒衣壳抗原IgG、EB病毒衣壳抗原IgM、EB病毒早期抗原IgM检测质控需要。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需能在检验科已有平台上使用。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6A2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\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511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检验科</w:t>
            </w:r>
          </w:p>
        </w:tc>
      </w:tr>
    </w:tbl>
    <w:p w14:paraId="36906D8B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WFlMzg0NWQxYmU3MDgyOThjZDM3MzQ3YjM0ZDEifQ=="/>
  </w:docVars>
  <w:rsids>
    <w:rsidRoot w:val="00000000"/>
    <w:rsid w:val="1FB8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2024-09-29T03:54:45Z</dcterms:created>
  <dc:creator>DeLL</dc:creator>
  <cp:lastModifiedBy>大先生</cp:lastModifiedBy>
  <dcterms:modified xsi:type="dcterms:W3CDTF">2024-09-29T03:56:56Z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D626E4C7F39C47E6A9B9349963B14EC1_12</vt:lpwstr>
  </property>
</Properties>
</file>