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635C5">
      <w:pPr>
        <w:numPr>
          <w:ilvl w:val="-1"/>
          <w:numId w:val="0"/>
        </w:numPr>
        <w:spacing w:line="240" w:lineRule="atLeast"/>
        <w:ind w:firstLine="482" w:firstLineChars="200"/>
        <w:jc w:val="both"/>
        <w:rPr>
          <w:rFonts w:hint="eastAsia" w:ascii="仿宋_GB2312" w:hAnsi="仿宋_GB2312" w:eastAsia="仿宋_GB2312" w:cs="仿宋_GB2312"/>
          <w:b/>
          <w:bCs/>
          <w:sz w:val="24"/>
          <w:szCs w:val="24"/>
          <w:lang w:val="en-US" w:eastAsia="zh-CN"/>
        </w:rPr>
      </w:pPr>
      <w:bookmarkStart w:id="0" w:name="_GoBack"/>
      <w:bookmarkEnd w:id="0"/>
      <w:r>
        <w:rPr>
          <w:rFonts w:hint="eastAsia" w:ascii="仿宋_GB2312" w:hAnsi="仿宋_GB2312" w:eastAsia="仿宋_GB2312" w:cs="仿宋_GB2312"/>
          <w:b/>
          <w:bCs/>
          <w:sz w:val="24"/>
          <w:szCs w:val="24"/>
          <w:lang w:val="en-US" w:eastAsia="zh-CN"/>
        </w:rPr>
        <w:t>1.米面：</w:t>
      </w:r>
    </w:p>
    <w:p w14:paraId="6FC9FD58">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1.1大米：非转基因食品，应符合GB/T1354国家标准，等级要求为一级及以上。须为预包装产品，包装上清晰印刷品牌、质量等级、生产日期、执行标准、SC生产许可证编号信息。随货提供该批次质量检测报告。</w:t>
      </w:r>
    </w:p>
    <w:p w14:paraId="484317AD">
      <w:pPr>
        <w:numPr>
          <w:ilvl w:val="-1"/>
          <w:numId w:val="0"/>
        </w:numPr>
        <w:spacing w:line="240" w:lineRule="atLeast"/>
        <w:ind w:firstLine="480" w:firstLineChars="2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1.2面：非转基因食品，应符合GB/T1355国家标准，等级为特等及以上。随货提供该批次产品合格检验报告。</w:t>
      </w:r>
    </w:p>
    <w:p w14:paraId="6583F3F0">
      <w:pPr>
        <w:numPr>
          <w:numId w:val="0"/>
        </w:numPr>
        <w:spacing w:line="240" w:lineRule="atLeast"/>
        <w:ind w:firstLine="482" w:firstLineChars="20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2.食用油：</w:t>
      </w:r>
    </w:p>
    <w:p w14:paraId="29BA4DE2">
      <w:pPr>
        <w:numPr>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执行标准与等级：大豆油应符合GB/T1535，花生油应符合GB/T1534，食用调和油应符合SB/T10292，压榨菜籽油执行标准为GB/T1536-2021。同时，所有食用油的卫生指标必须符合GB2716的规定。等级为一级及以上。包装为一次性桶装，包装应符合最新GB/T 17374《食用植物油销售包装》及最新GB7718《预包装食品标签通则》，同时标识清楚，应印有生产日期、保质期、生产厂家、电话等。每批货均具有《出厂检验合格报告》；</w:t>
      </w:r>
    </w:p>
    <w:p w14:paraId="317E481E">
      <w:pPr>
        <w:numPr>
          <w:ilvl w:val="-1"/>
          <w:numId w:val="0"/>
        </w:numPr>
        <w:spacing w:line="240" w:lineRule="atLeast"/>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3.蛋类：</w:t>
      </w:r>
    </w:p>
    <w:p w14:paraId="7B58B603">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3.1鲜鸡蛋整箱大小均匀，每斤在8枚左右，新鲜无污染，无损坏，装箱配送（按我方实际采购量为准）。</w:t>
      </w:r>
    </w:p>
    <w:p w14:paraId="5FF9FA41">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3.2符合食品安全标准，无病害，无变质。</w:t>
      </w:r>
    </w:p>
    <w:p w14:paraId="15C2AC5F">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3.3执行国家检验标准GB 2749-2015（食品安全国家标准蛋与蛋制品）标准、GB 5009.17-202（食品安全国家标准食品中总汞及有机汞的测定）标准，GB 2762-2022（食品安全国家标准 食品中污染物限量）标准。</w:t>
      </w:r>
    </w:p>
    <w:p w14:paraId="73BEC7F0">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3.4所供鸡蛋在运至采购人指定地点后，其生产日期不得超过10天。</w:t>
      </w:r>
    </w:p>
    <w:p w14:paraId="570C4B19">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3.5供应的鲜鸡蛋每批次均要提供当地有关检测部门的检验结果证明。</w:t>
      </w:r>
    </w:p>
    <w:p w14:paraId="23B11543">
      <w:pPr>
        <w:numPr>
          <w:ilvl w:val="-1"/>
          <w:numId w:val="0"/>
        </w:numPr>
        <w:spacing w:line="240" w:lineRule="atLeas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3.6感官指标：色泽：具有禽蛋固有的色泽；组织形态：蛋壳清洁、无破裂、打开后蛋黄凸起、完整、有韧性、蛋白澄清透明、稀稠分明；气味：具有产品固有的气味，无异味；杂质：无杂质，内容物不得有血块及其他鸡组织异物。</w:t>
      </w:r>
    </w:p>
    <w:p w14:paraId="02E33DCB">
      <w:pPr>
        <w:numPr>
          <w:ilvl w:val="-1"/>
          <w:numId w:val="0"/>
        </w:numPr>
        <w:spacing w:line="240" w:lineRule="atLeas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3.7提供质量保证，在运输过程中损坏的鸡蛋由供货企业承担。对破损、变质鸡蛋无条件更换。若在食用或抽检过程中所供产品变质（非采购人原因引起的），供应商除无条件更换外，其履约保证金不予退还。并承担由此产生的一切责任。</w:t>
      </w:r>
    </w:p>
    <w:p w14:paraId="3ED57AC1">
      <w:pPr>
        <w:numPr>
          <w:ilvl w:val="-1"/>
          <w:numId w:val="0"/>
        </w:numPr>
        <w:spacing w:line="240" w:lineRule="atLeast"/>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4.奶类：</w:t>
      </w:r>
    </w:p>
    <w:p w14:paraId="630DD4A1">
      <w:pPr>
        <w:numPr>
          <w:ilvl w:val="-1"/>
          <w:numId w:val="0"/>
        </w:numPr>
        <w:spacing w:line="240" w:lineRule="atLeas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4.1鲜牛奶符合GB 19645-2010（食品安全国家标准巴氏杀菌乳）标准、纯牛奶符合GB 25190-2010（食品安全国家标准 灭菌乳）标准；</w:t>
      </w:r>
    </w:p>
    <w:p w14:paraId="1B0E6FDE">
      <w:pPr>
        <w:numPr>
          <w:ilvl w:val="-1"/>
          <w:numId w:val="0"/>
        </w:numPr>
        <w:spacing w:line="240" w:lineRule="atLeas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4.2采用《生鲜牛乳收购标准》规定的生牛乳生产，生牛乳符合GB19301-2010（食品安全国家标准 生乳）标准，禁止使用或添加复原乳作为原料生产；净含量绝对偏差符合国家标准；</w:t>
      </w:r>
    </w:p>
    <w:p w14:paraId="3ECA7E1B">
      <w:pPr>
        <w:numPr>
          <w:ilvl w:val="-1"/>
          <w:numId w:val="0"/>
        </w:numPr>
        <w:spacing w:line="240" w:lineRule="atLeast"/>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4.3包装符合国家卫生标准。必须是预包装产品，包装无破损、无涨袋、无渗漏。标签上必须清晰标注食品生产许可证编号（SC编码）、生产日期、配料表、保质期及执行标准。</w:t>
      </w:r>
    </w:p>
    <w:p w14:paraId="0E15FF76">
      <w:pPr>
        <w:numPr>
          <w:ilvl w:val="-1"/>
          <w:numId w:val="0"/>
        </w:numPr>
        <w:spacing w:line="240" w:lineRule="atLeast"/>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5.饮品：</w:t>
      </w:r>
    </w:p>
    <w:p w14:paraId="42F99E8B">
      <w:pPr>
        <w:numPr>
          <w:ilvl w:val="-1"/>
          <w:numId w:val="0"/>
        </w:numPr>
        <w:spacing w:line="240" w:lineRule="atLeas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5.1</w:t>
      </w:r>
      <w:r>
        <w:rPr>
          <w:rFonts w:hint="eastAsia" w:ascii="仿宋_GB2312" w:hAnsi="仿宋_GB2312" w:eastAsia="仿宋_GB2312" w:cs="仿宋_GB2312"/>
          <w:sz w:val="24"/>
          <w:szCs w:val="24"/>
        </w:rPr>
        <w:t>标签、说明书符合《中华人民共和国食品安全法》规定。</w:t>
      </w:r>
    </w:p>
    <w:p w14:paraId="19C4F0AF">
      <w:pPr>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5.2</w:t>
      </w:r>
      <w:r>
        <w:rPr>
          <w:rFonts w:hint="eastAsia" w:ascii="仿宋_GB2312" w:hAnsi="仿宋_GB2312" w:eastAsia="仿宋_GB2312" w:cs="仿宋_GB2312"/>
          <w:sz w:val="24"/>
          <w:szCs w:val="24"/>
        </w:rPr>
        <w:t>不得使用非食品原料生产食品或者添加食品添加剂以外的化学物质和其他可能危害人体健康的物质；不得</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变质、霉变生虫、污秽不洁、混有异物、掺假掺杂或者感官性状异常的</w:t>
      </w:r>
      <w:r>
        <w:rPr>
          <w:rFonts w:hint="eastAsia" w:ascii="仿宋_GB2312" w:hAnsi="仿宋_GB2312" w:eastAsia="仿宋_GB2312" w:cs="仿宋_GB2312"/>
          <w:sz w:val="24"/>
          <w:szCs w:val="24"/>
          <w:lang w:val="en-US" w:eastAsia="zh-CN"/>
        </w:rPr>
        <w:t>情况</w:t>
      </w:r>
      <w:r>
        <w:rPr>
          <w:rFonts w:hint="eastAsia" w:ascii="仿宋_GB2312" w:hAnsi="仿宋_GB2312" w:eastAsia="仿宋_GB2312" w:cs="仿宋_GB2312"/>
          <w:sz w:val="24"/>
          <w:szCs w:val="24"/>
          <w:lang w:eastAsia="zh-CN"/>
        </w:rPr>
        <w:t>。</w:t>
      </w:r>
    </w:p>
    <w:p w14:paraId="0A26AF8A">
      <w:pPr>
        <w:ind w:firstLine="480" w:firstLineChars="20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5.3包装与标识：必须是预包装产品，包装无破损、无涨袋、无渗漏。标签上必须清晰标注食品生产许可证编号（SC编码）、生产日期、配料表、保质期及执行标准。</w:t>
      </w:r>
    </w:p>
    <w:p w14:paraId="2ED3FB8F">
      <w:pPr>
        <w:numPr>
          <w:ilvl w:val="-1"/>
          <w:numId w:val="0"/>
        </w:numPr>
        <w:spacing w:line="240" w:lineRule="atLeast"/>
        <w:ind w:firstLine="482" w:firstLineChars="20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6.干杂调味品：</w:t>
      </w:r>
    </w:p>
    <w:p w14:paraId="56FDCE52">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6.1 调味品类（酱油、醋、酱料、味精等）</w:t>
      </w:r>
    </w:p>
    <w:p w14:paraId="2300E82D">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执行标准：调味品必须符合相应的国家标准。例如： 酱油应符合GB 2717，且氨基酸态氮含量是核心营养指标，通常要求不低于0.4 g/100ml（特级、一级更高）。食醋应符合GB 2719。整体调味品分类标准参照GB/T 20903。</w:t>
      </w:r>
    </w:p>
    <w:p w14:paraId="4300B4DE">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包装与标识：必须是预包装产品，包装无破损、无涨袋、无渗漏。标签上必须清晰标注食品生产许可证编号（SC编码）、生产日期、配料表、保质期及执行标准。</w:t>
      </w:r>
    </w:p>
    <w:p w14:paraId="2AFFF193">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感官要求：包装容器清洁无污染；液体调味料应清亮无沉淀（允许少量沉淀除外）、无悬浮物；半固态酱料应无霉变、无异味。</w:t>
      </w:r>
    </w:p>
    <w:p w14:paraId="35DB609D">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6.2 干货类（干辣椒、木耳、香菇、大料、粉丝等）</w:t>
      </w:r>
    </w:p>
    <w:p w14:paraId="64F8C02E">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感官指标：外观：必须干燥（水分含量符合相关标准）、无霉变、无虫蛀、无杂质。</w:t>
      </w:r>
    </w:p>
    <w:p w14:paraId="17819E65">
      <w:pPr>
        <w:numPr>
          <w:ilvl w:val="-1"/>
          <w:numId w:val="0"/>
        </w:numPr>
        <w:spacing w:line="240" w:lineRule="atLeas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色泽与气味：具有该品种固有的色泽和香味，无异味、无酸败、无腐臭味。</w:t>
      </w:r>
    </w:p>
    <w:p w14:paraId="438F98F2">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食品安全指标：干货中的有机磷、有机氯农药残留量及重金属（如铅、镉）必须符合GB 2762、GB 2763的规定。严禁为使干货色泽鲜艳而违规添加二氧化硫或使用硫黄熏蒸（除特定允许的食品类别并严格限量外），严禁掺假、掺杂。</w:t>
      </w:r>
    </w:p>
    <w:p w14:paraId="173191B5">
      <w:pPr>
        <w:numPr>
          <w:ilvl w:val="-1"/>
          <w:numId w:val="0"/>
        </w:numPr>
        <w:spacing w:line="240" w:lineRule="atLeast"/>
        <w:ind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包装要求：散装干货需使用食品级包装袋密封，且包装无破损、无污染。符合相关国家标准，每批次供货的产品须为同样品质的产品，须附检验报告。</w:t>
      </w:r>
    </w:p>
    <w:p w14:paraId="7AD57D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07033"/>
    <w:rsid w:val="2164680C"/>
    <w:rsid w:val="47F07033"/>
    <w:rsid w:val="7B356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1605</Words>
  <Characters>1806</Characters>
  <Lines>0</Lines>
  <Paragraphs>0</Paragraphs>
  <TotalTime>2</TotalTime>
  <ScaleCrop>false</ScaleCrop>
  <LinksUpToDate>false</LinksUpToDate>
  <CharactersWithSpaces>1829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2026-03-06T06:30:00Z</dcterms:created>
  <dc:creator>赖阳阳</dc:creator>
  <cp:lastModifiedBy>赖阳阳</cp:lastModifiedBy>
  <dcterms:modified xsi:type="dcterms:W3CDTF">2026-03-06T07:08:42Z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BFA7CB36335C42B0BCFC4CC3C6F496B0_11</vt:lpwstr>
  </property>
  <property fmtid="{D5CDD505-2E9C-101B-9397-08002B2CF9AE}" pid="4" name="KSOTemplateDocerSaveRecord">
    <vt:lpwstr>eyJoZGlkIjoiMWM4MmVkOTA1MjFjYzMwZWNmZGFhODliZDBjZWU4YWMiLCJ1c2VySWQiOiIyOTQ1MjAwMTcifQ==</vt:lpwstr>
  </property>
</Properties>
</file>